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5EC0B" w14:textId="77777777" w:rsidR="00D271A1" w:rsidRDefault="00D271A1">
      <w:pPr>
        <w:pStyle w:val="NormalWeb"/>
      </w:pPr>
      <w:r>
        <w:t>DEPARTMENT OF JURISPRUDENCE &amp; INTERNATIONAL LAW FACULTY OF LAW</w:t>
      </w:r>
    </w:p>
    <w:p w14:paraId="4A4D34DE" w14:textId="77777777" w:rsidR="00D271A1" w:rsidRDefault="00D271A1">
      <w:pPr>
        <w:pStyle w:val="NormalWeb"/>
      </w:pPr>
      <w:r>
        <w:t>(2024–2026)</w:t>
      </w:r>
    </w:p>
    <w:p w14:paraId="0EF1FE72" w14:textId="77777777" w:rsidR="00D271A1" w:rsidRDefault="00D271A1">
      <w:pPr>
        <w:pStyle w:val="NormalWeb"/>
      </w:pPr>
      <w:r>
        <w:t xml:space="preserve">NATIONAL OPEN UNIVERSITY OF NIGERIA (NOUN) University Village, Plot 91, Cadastral Zone, </w:t>
      </w:r>
      <w:proofErr w:type="spellStart"/>
      <w:r>
        <w:t>Nnamdi</w:t>
      </w:r>
      <w:proofErr w:type="spellEnd"/>
      <w:r>
        <w:t xml:space="preserve"> </w:t>
      </w:r>
      <w:proofErr w:type="spellStart"/>
      <w:r>
        <w:t>Azikiwe</w:t>
      </w:r>
      <w:proofErr w:type="spellEnd"/>
      <w:r>
        <w:t xml:space="preserve"> Expressway</w:t>
      </w:r>
    </w:p>
    <w:p w14:paraId="74BB0E10" w14:textId="77777777" w:rsidR="00D271A1" w:rsidRDefault="00D271A1">
      <w:pPr>
        <w:pStyle w:val="NormalWeb"/>
      </w:pPr>
      <w:r>
        <w:t>UNDERGRADUATE &amp; POSTGRADUATE PROGRAMME-BASED Handbook</w:t>
      </w:r>
    </w:p>
    <w:p w14:paraId="471773EC" w14:textId="77777777" w:rsidR="00D271A1" w:rsidRDefault="00D271A1">
      <w:pPr>
        <w:pStyle w:val="NormalWeb"/>
      </w:pPr>
      <w:r>
        <w:t>ACKNOWLEDGEMENTS</w:t>
      </w:r>
    </w:p>
    <w:p w14:paraId="69C7052A" w14:textId="5FB7515B" w:rsidR="00D271A1" w:rsidRDefault="00D271A1">
      <w:pPr>
        <w:pStyle w:val="NormalWeb"/>
      </w:pPr>
      <w:r>
        <w:t xml:space="preserve">This departmental handbook for the Department of Jurisprudence &amp; International Law </w:t>
      </w:r>
      <w:r w:rsidR="00567C72">
        <w:t>and</w:t>
      </w:r>
      <w:r>
        <w:t xml:space="preserve"> The structure, front-matter elements (Acknowledgements, Preface, Foreword, Welcome Addresses, Parts and Appendices) and layout conventions were adopted to ensure consistency across departmental handbooks at NOUN. </w:t>
      </w:r>
    </w:p>
    <w:p w14:paraId="131E13B2" w14:textId="77777777" w:rsidR="00D271A1" w:rsidRDefault="00D271A1">
      <w:pPr>
        <w:pStyle w:val="NormalWeb"/>
      </w:pPr>
      <w:r>
        <w:t xml:space="preserve">The content has been reviewed and adapted from materials published on the Faculty of Law website, departmental courseware, and Faculty </w:t>
      </w:r>
      <w:proofErr w:type="spellStart"/>
      <w:r>
        <w:t>programme</w:t>
      </w:r>
      <w:proofErr w:type="spellEnd"/>
      <w:r>
        <w:t xml:space="preserve"> documents. The Department thanks the Vice</w:t>
      </w:r>
      <w:r>
        <w:noBreakHyphen/>
        <w:t>Chancellor, the Dean of Faculty of Law, Faculty Registry, Study Centre Coordinators, academic and administrative staff for their contributions.</w:t>
      </w:r>
    </w:p>
    <w:p w14:paraId="03E65BAD" w14:textId="77777777" w:rsidR="00D271A1" w:rsidRDefault="00D271A1">
      <w:pPr>
        <w:pStyle w:val="NormalWeb"/>
      </w:pPr>
      <w:r>
        <w:t>PREFACE</w:t>
      </w:r>
    </w:p>
    <w:p w14:paraId="37579E51" w14:textId="77777777" w:rsidR="00D271A1" w:rsidRDefault="00D271A1">
      <w:pPr>
        <w:pStyle w:val="NormalWeb"/>
      </w:pPr>
      <w:r>
        <w:t>This handbook provides concise, department</w:t>
      </w:r>
      <w:r>
        <w:noBreakHyphen/>
        <w:t xml:space="preserve">level guidance on academic regulations, </w:t>
      </w:r>
      <w:proofErr w:type="spellStart"/>
      <w:r>
        <w:t>programme</w:t>
      </w:r>
      <w:proofErr w:type="spellEnd"/>
      <w:r>
        <w:t xml:space="preserve"> details, course outlines, administration, and student support specific to the Department of Jurisprudence &amp; International Law. It is designed for easy reference by students, supervisors, facilitators, study </w:t>
      </w:r>
      <w:proofErr w:type="spellStart"/>
      <w:r>
        <w:t>centre</w:t>
      </w:r>
      <w:proofErr w:type="spellEnd"/>
      <w:r>
        <w:t xml:space="preserve"> officers and other stakeholders.</w:t>
      </w:r>
    </w:p>
    <w:p w14:paraId="3761522F" w14:textId="77777777" w:rsidR="00D271A1" w:rsidRDefault="00D271A1">
      <w:pPr>
        <w:pStyle w:val="NormalWeb"/>
      </w:pPr>
      <w:r>
        <w:t xml:space="preserve">The handbook aligns departmental </w:t>
      </w:r>
      <w:proofErr w:type="spellStart"/>
      <w:r>
        <w:t>programme</w:t>
      </w:r>
      <w:proofErr w:type="spellEnd"/>
      <w:r>
        <w:t xml:space="preserve"> delivery with the National Universities Commission (NUC) Core Curriculum and Minimum Academic Standards (CCMAS) for Law and follows departmental governance and NOUN policies.</w:t>
      </w:r>
    </w:p>
    <w:p w14:paraId="046A0C4A" w14:textId="77777777" w:rsidR="00351379" w:rsidRDefault="00D271A1">
      <w:pPr>
        <w:pStyle w:val="NormalWeb"/>
      </w:pPr>
      <w:r>
        <w:t xml:space="preserve">Head of Department </w:t>
      </w:r>
      <w:r w:rsidR="00351379" w:rsidRPr="00351379">
        <w:t>Barr</w:t>
      </w:r>
      <w:proofErr w:type="gramStart"/>
      <w:r w:rsidR="00351379" w:rsidRPr="00351379">
        <w:t>.(</w:t>
      </w:r>
      <w:proofErr w:type="gramEnd"/>
      <w:r w:rsidR="00351379" w:rsidRPr="00351379">
        <w:t xml:space="preserve"> </w:t>
      </w:r>
      <w:proofErr w:type="spellStart"/>
      <w:r w:rsidR="00351379" w:rsidRPr="00351379">
        <w:t>Mrs</w:t>
      </w:r>
      <w:proofErr w:type="spellEnd"/>
      <w:r w:rsidR="00351379" w:rsidRPr="00351379">
        <w:t xml:space="preserve">) Grace </w:t>
      </w:r>
      <w:proofErr w:type="spellStart"/>
      <w:r w:rsidR="00351379" w:rsidRPr="00351379">
        <w:t>Dallong</w:t>
      </w:r>
      <w:proofErr w:type="spellEnd"/>
      <w:r w:rsidR="00351379" w:rsidRPr="00351379">
        <w:t xml:space="preserve"> -</w:t>
      </w:r>
      <w:proofErr w:type="spellStart"/>
      <w:r w:rsidR="00351379" w:rsidRPr="00351379">
        <w:t>Opadotun</w:t>
      </w:r>
      <w:proofErr w:type="spellEnd"/>
      <w:r w:rsidR="00351379">
        <w:t xml:space="preserve"> </w:t>
      </w:r>
    </w:p>
    <w:p w14:paraId="649A6231" w14:textId="47EDAF47" w:rsidR="00D271A1" w:rsidRDefault="00D271A1">
      <w:pPr>
        <w:pStyle w:val="NormalWeb"/>
      </w:pPr>
      <w:r>
        <w:t>CONTENTS</w:t>
      </w:r>
    </w:p>
    <w:p w14:paraId="11B5DDB3" w14:textId="77777777" w:rsidR="00D271A1" w:rsidRDefault="00D271A1">
      <w:pPr>
        <w:pStyle w:val="NormalWeb"/>
      </w:pPr>
      <w:r>
        <w:t xml:space="preserve">Acknowledgements .................................... iii Preface ............................................. </w:t>
      </w:r>
      <w:proofErr w:type="gramStart"/>
      <w:r>
        <w:t>iv</w:t>
      </w:r>
      <w:proofErr w:type="gramEnd"/>
      <w:r>
        <w:t xml:space="preserve"> Vision &amp; Mission (NOUN &amp; Faculty of Law) ... vi Foreword from the Vice</w:t>
      </w:r>
      <w:r>
        <w:noBreakHyphen/>
        <w:t>Chancellor .................. ix Welcome Address from the Dean ................... x Welcome Address from the Head of Department ... xi</w:t>
      </w:r>
    </w:p>
    <w:p w14:paraId="0906E516" w14:textId="77777777" w:rsidR="00D271A1" w:rsidRDefault="00D271A1">
      <w:pPr>
        <w:pStyle w:val="NormalWeb"/>
      </w:pPr>
      <w:r>
        <w:t xml:space="preserve">Part 1: </w:t>
      </w:r>
      <w:proofErr w:type="gramStart"/>
      <w:r>
        <w:t>Introduction ................................</w:t>
      </w:r>
      <w:proofErr w:type="gramEnd"/>
      <w:r>
        <w:t xml:space="preserve"> 1 Part 2: About the Department ........................ 3 Part 3: Information for New and Returning </w:t>
      </w:r>
      <w:proofErr w:type="gramStart"/>
      <w:r>
        <w:t>Students ..</w:t>
      </w:r>
      <w:proofErr w:type="gramEnd"/>
      <w:r>
        <w:t xml:space="preserve"> 15 Part 4: </w:t>
      </w:r>
      <w:proofErr w:type="spellStart"/>
      <w:r>
        <w:t>Programme</w:t>
      </w:r>
      <w:proofErr w:type="spellEnd"/>
      <w:r>
        <w:t xml:space="preserve">(s) &amp; Curriculum .................. 21 Part 5: Teaching, Learning &amp; Assessment ............ 45 Part 6: Research, Projects &amp; </w:t>
      </w:r>
      <w:proofErr w:type="gramStart"/>
      <w:r>
        <w:t>Supervision ...........</w:t>
      </w:r>
      <w:proofErr w:type="gramEnd"/>
      <w:r>
        <w:t xml:space="preserve"> 55 Part 7: Student Support, Clinical Activities &amp; LAWSAN 65 Part 8: </w:t>
      </w:r>
      <w:r>
        <w:lastRenderedPageBreak/>
        <w:t>Examination, Grading &amp; Degree Award ...... 73 Appendices (Forms, Templates, QA Checklists</w:t>
      </w:r>
      <w:proofErr w:type="gramStart"/>
      <w:r>
        <w:t>) .....</w:t>
      </w:r>
      <w:proofErr w:type="gramEnd"/>
      <w:r>
        <w:t xml:space="preserve"> 89</w:t>
      </w:r>
    </w:p>
    <w:p w14:paraId="688F344A" w14:textId="77777777" w:rsidR="00D271A1" w:rsidRDefault="00D271A1">
      <w:pPr>
        <w:pStyle w:val="NormalWeb"/>
      </w:pPr>
      <w:r>
        <w:t>PART 1 — INTRODUCTION</w:t>
      </w:r>
    </w:p>
    <w:p w14:paraId="58D5D6AB" w14:textId="77777777" w:rsidR="00D271A1" w:rsidRDefault="00D271A1">
      <w:pPr>
        <w:pStyle w:val="NormalWeb"/>
      </w:pPr>
      <w:r>
        <w:t xml:space="preserve">1.1 Background </w:t>
      </w:r>
      <w:proofErr w:type="gramStart"/>
      <w:r>
        <w:t>Brief</w:t>
      </w:r>
      <w:proofErr w:type="gramEnd"/>
      <w:r>
        <w:t xml:space="preserve"> history of Department and its mandate within Faculty of Law; role in LL.B and postgraduate training; adoption of ODL principles.</w:t>
      </w:r>
    </w:p>
    <w:p w14:paraId="1E994B85" w14:textId="77777777" w:rsidR="00D271A1" w:rsidRDefault="00D271A1">
      <w:pPr>
        <w:pStyle w:val="NormalWeb"/>
      </w:pPr>
      <w:r>
        <w:t xml:space="preserve">1.2 Mode of Delivery Overview of </w:t>
      </w:r>
      <w:proofErr w:type="spellStart"/>
      <w:r>
        <w:t>eCourseware</w:t>
      </w:r>
      <w:proofErr w:type="spellEnd"/>
      <w:r>
        <w:t xml:space="preserve">, TMAs, online facilitation, study </w:t>
      </w:r>
      <w:proofErr w:type="spellStart"/>
      <w:r>
        <w:t>centre</w:t>
      </w:r>
      <w:proofErr w:type="spellEnd"/>
      <w:r>
        <w:t xml:space="preserve"> tutorials, contact sessions and clinical </w:t>
      </w:r>
      <w:proofErr w:type="spellStart"/>
      <w:r>
        <w:t>programmes</w:t>
      </w:r>
      <w:proofErr w:type="spellEnd"/>
      <w:r>
        <w:t>.</w:t>
      </w:r>
    </w:p>
    <w:p w14:paraId="79F2E848" w14:textId="77777777" w:rsidR="00D271A1" w:rsidRDefault="00D271A1">
      <w:pPr>
        <w:pStyle w:val="NormalWeb"/>
      </w:pPr>
      <w:r>
        <w:t>PART 2 — ABOUT THE DEPARTMENT</w:t>
      </w:r>
    </w:p>
    <w:p w14:paraId="76C6107B" w14:textId="77777777" w:rsidR="00D271A1" w:rsidRDefault="00D271A1">
      <w:pPr>
        <w:pStyle w:val="NormalWeb"/>
      </w:pPr>
      <w:r>
        <w:t xml:space="preserve">2.1 Vision </w:t>
      </w:r>
      <w:proofErr w:type="gramStart"/>
      <w:r>
        <w:t>To</w:t>
      </w:r>
      <w:proofErr w:type="gramEnd"/>
      <w:r>
        <w:t xml:space="preserve"> be a nationally and internationally </w:t>
      </w:r>
      <w:proofErr w:type="spellStart"/>
      <w:r>
        <w:t>recognised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for jurisprudential scholarship and the study of law in its philosophical, comparative and global contexts.</w:t>
      </w:r>
    </w:p>
    <w:p w14:paraId="27734854" w14:textId="77777777" w:rsidR="00D271A1" w:rsidRDefault="00D271A1">
      <w:pPr>
        <w:pStyle w:val="NormalWeb"/>
      </w:pPr>
      <w:r>
        <w:t>2.2 Mission To teach, research and promote jurisprudence, legal theory and international legal studies through open and distance learning and to produce graduates with strong analytical, ethical and research capabilities.</w:t>
      </w:r>
    </w:p>
    <w:p w14:paraId="0CAA8BEC" w14:textId="77777777" w:rsidR="00D271A1" w:rsidRDefault="00D271A1">
      <w:pPr>
        <w:pStyle w:val="NormalWeb"/>
      </w:pPr>
      <w:r>
        <w:t>2.3 Core Values Excellence, Integrity, Scholarship, Inclusiveness, Relevance, Professionalism.</w:t>
      </w:r>
    </w:p>
    <w:p w14:paraId="488DE7DE" w14:textId="2AFE44E6" w:rsidR="0099671C" w:rsidRDefault="00D271A1">
      <w:pPr>
        <w:pStyle w:val="NormalWeb"/>
      </w:pPr>
      <w:r>
        <w:t xml:space="preserve">2.4 </w:t>
      </w:r>
      <w:proofErr w:type="spellStart"/>
      <w:r>
        <w:t>Organisational</w:t>
      </w:r>
      <w:proofErr w:type="spellEnd"/>
      <w:r>
        <w:t xml:space="preserve"> Structure</w:t>
      </w:r>
    </w:p>
    <w:p w14:paraId="5D63944A" w14:textId="77777777" w:rsidR="00EC60C7" w:rsidRDefault="00D271A1" w:rsidP="00D271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EC60C7">
        <w:rPr>
          <w:rFonts w:eastAsia="Times New Roman"/>
        </w:rPr>
        <w:t xml:space="preserve">Head of Department: </w:t>
      </w:r>
      <w:r w:rsidR="00EC60C7" w:rsidRPr="00EC60C7">
        <w:rPr>
          <w:rFonts w:eastAsia="Times New Roman"/>
        </w:rPr>
        <w:t xml:space="preserve">Barr.( </w:t>
      </w:r>
      <w:proofErr w:type="spellStart"/>
      <w:r w:rsidR="00EC60C7" w:rsidRPr="00EC60C7">
        <w:rPr>
          <w:rFonts w:eastAsia="Times New Roman"/>
        </w:rPr>
        <w:t>Mrs</w:t>
      </w:r>
      <w:proofErr w:type="spellEnd"/>
      <w:r w:rsidR="00EC60C7" w:rsidRPr="00EC60C7">
        <w:rPr>
          <w:rFonts w:eastAsia="Times New Roman"/>
        </w:rPr>
        <w:t xml:space="preserve">) Grace </w:t>
      </w:r>
      <w:proofErr w:type="spellStart"/>
      <w:r w:rsidR="00EC60C7" w:rsidRPr="00EC60C7">
        <w:rPr>
          <w:rFonts w:eastAsia="Times New Roman"/>
        </w:rPr>
        <w:t>Dallong</w:t>
      </w:r>
      <w:proofErr w:type="spellEnd"/>
      <w:r w:rsidR="00EC60C7" w:rsidRPr="00EC60C7">
        <w:rPr>
          <w:rFonts w:eastAsia="Times New Roman"/>
        </w:rPr>
        <w:t xml:space="preserve"> -</w:t>
      </w:r>
      <w:proofErr w:type="spellStart"/>
      <w:r w:rsidR="00EC60C7" w:rsidRPr="00EC60C7">
        <w:rPr>
          <w:rFonts w:eastAsia="Times New Roman"/>
        </w:rPr>
        <w:t>Opadotun</w:t>
      </w:r>
      <w:proofErr w:type="spellEnd"/>
    </w:p>
    <w:p w14:paraId="5FF24E93" w14:textId="77777777" w:rsidR="00797294" w:rsidRDefault="00D271A1" w:rsidP="00D271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745081">
        <w:rPr>
          <w:rFonts w:eastAsia="Times New Roman"/>
        </w:rPr>
        <w:t xml:space="preserve">Departmental Secretary: </w:t>
      </w:r>
      <w:proofErr w:type="spellStart"/>
      <w:r w:rsidR="00745081" w:rsidRPr="00745081">
        <w:rPr>
          <w:rFonts w:eastAsia="Times New Roman"/>
        </w:rPr>
        <w:t>Mrs.Success</w:t>
      </w:r>
      <w:proofErr w:type="spellEnd"/>
      <w:r w:rsidR="00745081" w:rsidRPr="00745081">
        <w:rPr>
          <w:rFonts w:eastAsia="Times New Roman"/>
        </w:rPr>
        <w:t xml:space="preserve"> </w:t>
      </w:r>
      <w:proofErr w:type="spellStart"/>
      <w:r w:rsidR="00745081" w:rsidRPr="00745081">
        <w:rPr>
          <w:rFonts w:eastAsia="Times New Roman"/>
        </w:rPr>
        <w:t>Agane</w:t>
      </w:r>
      <w:proofErr w:type="spellEnd"/>
      <w:r w:rsidR="00745081" w:rsidRPr="00745081">
        <w:rPr>
          <w:rFonts w:eastAsia="Times New Roman"/>
        </w:rPr>
        <w:t xml:space="preserve"> Moses</w:t>
      </w:r>
    </w:p>
    <w:p w14:paraId="59285EDE" w14:textId="39253355" w:rsidR="00797294" w:rsidRDefault="00D271A1" w:rsidP="00D271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797294">
        <w:rPr>
          <w:rFonts w:eastAsia="Times New Roman"/>
        </w:rPr>
        <w:t xml:space="preserve">Postgraduate </w:t>
      </w:r>
      <w:proofErr w:type="spellStart"/>
      <w:r w:rsidRPr="00797294">
        <w:rPr>
          <w:rFonts w:eastAsia="Times New Roman"/>
        </w:rPr>
        <w:t>Cordinator</w:t>
      </w:r>
      <w:proofErr w:type="spellEnd"/>
      <w:r w:rsidRPr="00797294">
        <w:rPr>
          <w:rFonts w:eastAsia="Times New Roman"/>
        </w:rPr>
        <w:t xml:space="preserve">: </w:t>
      </w:r>
      <w:proofErr w:type="spellStart"/>
      <w:r w:rsidR="00797294" w:rsidRPr="00797294">
        <w:rPr>
          <w:rFonts w:eastAsia="Times New Roman"/>
        </w:rPr>
        <w:t>Mrs.Success</w:t>
      </w:r>
      <w:proofErr w:type="spellEnd"/>
      <w:r w:rsidR="00797294" w:rsidRPr="00797294">
        <w:rPr>
          <w:rFonts w:eastAsia="Times New Roman"/>
        </w:rPr>
        <w:t xml:space="preserve"> </w:t>
      </w:r>
      <w:proofErr w:type="spellStart"/>
      <w:r w:rsidR="00797294" w:rsidRPr="00797294">
        <w:rPr>
          <w:rFonts w:eastAsia="Times New Roman"/>
        </w:rPr>
        <w:t>Agane</w:t>
      </w:r>
      <w:proofErr w:type="spellEnd"/>
      <w:r w:rsidR="00797294" w:rsidRPr="00797294">
        <w:rPr>
          <w:rFonts w:eastAsia="Times New Roman"/>
        </w:rPr>
        <w:t xml:space="preserve"> Moses</w:t>
      </w:r>
    </w:p>
    <w:p w14:paraId="15B872C9" w14:textId="1C652C95" w:rsidR="00D271A1" w:rsidRPr="00797294" w:rsidRDefault="00D271A1" w:rsidP="00D271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 w:rsidRPr="00797294">
        <w:rPr>
          <w:rFonts w:eastAsia="Times New Roman"/>
        </w:rPr>
        <w:t xml:space="preserve">Undergraduate Coordinator: </w:t>
      </w:r>
      <w:proofErr w:type="spellStart"/>
      <w:r w:rsidR="004C6945">
        <w:rPr>
          <w:rFonts w:eastAsia="Times New Roman"/>
        </w:rPr>
        <w:t>Mr</w:t>
      </w:r>
      <w:proofErr w:type="spellEnd"/>
      <w:r w:rsidR="004C6945">
        <w:rPr>
          <w:rFonts w:eastAsia="Times New Roman"/>
        </w:rPr>
        <w:t xml:space="preserve"> </w:t>
      </w:r>
      <w:proofErr w:type="spellStart"/>
      <w:r w:rsidR="004C6945">
        <w:rPr>
          <w:rFonts w:eastAsia="Times New Roman"/>
        </w:rPr>
        <w:t>Elaga</w:t>
      </w:r>
      <w:proofErr w:type="spellEnd"/>
      <w:r w:rsidR="004C6945">
        <w:rPr>
          <w:rFonts w:eastAsia="Times New Roman"/>
        </w:rPr>
        <w:t xml:space="preserve"> </w:t>
      </w:r>
      <w:proofErr w:type="spellStart"/>
      <w:r w:rsidR="004C6945">
        <w:rPr>
          <w:rFonts w:eastAsia="Times New Roman"/>
        </w:rPr>
        <w:t>Ojonugwa</w:t>
      </w:r>
      <w:proofErr w:type="spellEnd"/>
    </w:p>
    <w:p w14:paraId="60183F7E" w14:textId="706C1DFA" w:rsidR="00D271A1" w:rsidRDefault="00D271A1">
      <w:pPr>
        <w:pStyle w:val="NormalWeb"/>
      </w:pPr>
      <w:r>
        <w:t xml:space="preserve">2.5 Staff Directory (Example — to be </w:t>
      </w:r>
      <w:proofErr w:type="spellStart"/>
      <w:r>
        <w:t>finalised</w:t>
      </w:r>
      <w:proofErr w:type="spellEnd"/>
      <w:r>
        <w:t xml:space="preserve"> by Dept. Registry) A table of academic and administrative </w:t>
      </w:r>
      <w:proofErr w:type="gramStart"/>
      <w:r>
        <w:t>staff  list</w:t>
      </w:r>
      <w:proofErr w:type="gramEnd"/>
      <w:r>
        <w:t xml:space="preserve"> is to be included here with: S/N | Name | Rank/Designation | Qualification | E-mail | Tel. No. </w:t>
      </w:r>
    </w:p>
    <w:p w14:paraId="1D48A0A3" w14:textId="77777777" w:rsidR="00D271A1" w:rsidRDefault="00D271A1">
      <w:pPr>
        <w:pStyle w:val="NormalWeb"/>
      </w:pPr>
      <w:r>
        <w:t>PART 3 — INFORMATION FOR NEW AND RETURNING STUDENTS</w:t>
      </w:r>
    </w:p>
    <w:p w14:paraId="06475B38" w14:textId="77777777" w:rsidR="00D271A1" w:rsidRDefault="00D271A1">
      <w:pPr>
        <w:pStyle w:val="NormalWeb"/>
      </w:pPr>
      <w:r>
        <w:t xml:space="preserve">3.1 Orientation &amp; Induction Centre-based orientation procedures, online induction modules, and recommended checklists. 3.2 Admission &amp; Registration Admission categories (UTME, Direct Entry, Mature Students, Postgraduate), required documentation, verification and online registration steps. 3.3 Change of </w:t>
      </w:r>
      <w:proofErr w:type="spellStart"/>
      <w:r>
        <w:t>Programme</w:t>
      </w:r>
      <w:proofErr w:type="spellEnd"/>
      <w:r>
        <w:t xml:space="preserve">, Deferment and Transfer Procedures and forms (see Appendix). 3.4 Student Responsibilities Attendance/engagement on </w:t>
      </w:r>
      <w:proofErr w:type="spellStart"/>
      <w:r>
        <w:t>eCourseware</w:t>
      </w:r>
      <w:proofErr w:type="spellEnd"/>
      <w:r>
        <w:t>, TMA submission rules, plagiarism declaration, clinical placement compliance.</w:t>
      </w:r>
    </w:p>
    <w:p w14:paraId="7A832A30" w14:textId="77777777" w:rsidR="00D271A1" w:rsidRDefault="00D271A1">
      <w:pPr>
        <w:pStyle w:val="NormalWeb"/>
      </w:pPr>
      <w:r>
        <w:t>PART 4 — PROGRAMMES &amp; CURRICULUM</w:t>
      </w:r>
    </w:p>
    <w:p w14:paraId="14F67225" w14:textId="77777777" w:rsidR="00D271A1" w:rsidRDefault="00D271A1">
      <w:pPr>
        <w:pStyle w:val="NormalWeb"/>
      </w:pPr>
      <w:r>
        <w:lastRenderedPageBreak/>
        <w:t xml:space="preserve">4.1 </w:t>
      </w:r>
      <w:proofErr w:type="spellStart"/>
      <w:r>
        <w:t>Programme</w:t>
      </w:r>
      <w:proofErr w:type="spellEnd"/>
      <w:r>
        <w:t xml:space="preserve"> Profile — LL.B (</w:t>
      </w:r>
      <w:proofErr w:type="spellStart"/>
      <w:r>
        <w:t>Honours</w:t>
      </w:r>
      <w:proofErr w:type="spellEnd"/>
      <w:r>
        <w:t xml:space="preserve">) </w:t>
      </w:r>
      <w:proofErr w:type="spellStart"/>
      <w:r>
        <w:t>Programme</w:t>
      </w:r>
      <w:proofErr w:type="spellEnd"/>
      <w:r>
        <w:t xml:space="preserve"> code: [to be supplied] </w:t>
      </w:r>
      <w:proofErr w:type="spellStart"/>
      <w:r>
        <w:t>Programme</w:t>
      </w:r>
      <w:proofErr w:type="spellEnd"/>
      <w:r>
        <w:t xml:space="preserve"> duration: 100</w:t>
      </w:r>
      <w:r>
        <w:noBreakHyphen/>
        <w:t xml:space="preserve">level entry — min 5 years, max 8 years; Direct entry — min 4 years. Total credit units required: [insert </w:t>
      </w:r>
      <w:proofErr w:type="spellStart"/>
      <w:r>
        <w:t>programme</w:t>
      </w:r>
      <w:proofErr w:type="spellEnd"/>
      <w:r>
        <w:t xml:space="preserve"> total; HQ to confirm].</w:t>
      </w:r>
    </w:p>
    <w:p w14:paraId="4D85AEE9" w14:textId="77777777" w:rsidR="00D271A1" w:rsidRDefault="00D271A1">
      <w:pPr>
        <w:pStyle w:val="NormalWeb"/>
      </w:pPr>
      <w:r>
        <w:t>4.2 Learning Outcomes (Departmental)</w:t>
      </w:r>
    </w:p>
    <w:p w14:paraId="1C9406B3" w14:textId="77777777" w:rsidR="00D271A1" w:rsidRDefault="00D271A1" w:rsidP="00D271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Demonstrate understanding of major jurisprudential schools and application to Nigerian law.</w:t>
      </w:r>
    </w:p>
    <w:p w14:paraId="75D1C3A3" w14:textId="77777777" w:rsidR="00D271A1" w:rsidRDefault="00D271A1" w:rsidP="00D271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Apply legal reasoning, statutory interpretation and advanced legal research methods.</w:t>
      </w:r>
    </w:p>
    <w:p w14:paraId="0B4B306A" w14:textId="77777777" w:rsidR="00D271A1" w:rsidRDefault="00D271A1" w:rsidP="00D271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Draft legal instruments and policy briefs; demonstrate professional ethics.</w:t>
      </w:r>
    </w:p>
    <w:p w14:paraId="5E8D1112" w14:textId="0A511860" w:rsidR="00D271A1" w:rsidRDefault="00D271A1">
      <w:pPr>
        <w:pStyle w:val="NormalWeb"/>
      </w:pPr>
      <w:r>
        <w:t xml:space="preserve">4.3 Curriculum </w:t>
      </w:r>
    </w:p>
    <w:p w14:paraId="64D4D314" w14:textId="77777777" w:rsidR="00D271A1" w:rsidRDefault="00D271A1">
      <w:pPr>
        <w:pStyle w:val="NormalWeb"/>
      </w:pPr>
      <w:r>
        <w:t>-- 100 LEVEL 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2498"/>
        <w:gridCol w:w="816"/>
        <w:gridCol w:w="950"/>
      </w:tblGrid>
      <w:tr w:rsidR="00D271A1" w14:paraId="10608BB9" w14:textId="77777777" w:rsidTr="00094CB9">
        <w:tc>
          <w:tcPr>
            <w:tcW w:w="0" w:type="auto"/>
            <w:hideMark/>
          </w:tcPr>
          <w:p w14:paraId="53B2838D" w14:textId="77777777" w:rsidR="00D271A1" w:rsidRDefault="00D271A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Code</w:t>
            </w:r>
          </w:p>
        </w:tc>
        <w:tc>
          <w:tcPr>
            <w:tcW w:w="0" w:type="auto"/>
            <w:hideMark/>
          </w:tcPr>
          <w:p w14:paraId="026D9789" w14:textId="77777777" w:rsidR="00D271A1" w:rsidRDefault="00D271A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Course Title</w:t>
            </w:r>
          </w:p>
        </w:tc>
        <w:tc>
          <w:tcPr>
            <w:tcW w:w="0" w:type="auto"/>
            <w:hideMark/>
          </w:tcPr>
          <w:p w14:paraId="415B180B" w14:textId="77777777" w:rsidR="00D271A1" w:rsidRDefault="00D271A1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Units</w:t>
            </w:r>
          </w:p>
        </w:tc>
        <w:tc>
          <w:tcPr>
            <w:tcW w:w="0" w:type="auto"/>
            <w:hideMark/>
          </w:tcPr>
          <w:p w14:paraId="5EB63D75" w14:textId="77777777" w:rsidR="00D271A1" w:rsidRDefault="00D271A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Status</w:t>
            </w:r>
          </w:p>
        </w:tc>
      </w:tr>
      <w:tr w:rsidR="00D271A1" w14:paraId="20C1B6F7" w14:textId="77777777" w:rsidTr="00094CB9">
        <w:tc>
          <w:tcPr>
            <w:tcW w:w="0" w:type="auto"/>
            <w:hideMark/>
          </w:tcPr>
          <w:p w14:paraId="2297E49D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GST101</w:t>
            </w:r>
          </w:p>
        </w:tc>
        <w:tc>
          <w:tcPr>
            <w:tcW w:w="0" w:type="auto"/>
            <w:hideMark/>
          </w:tcPr>
          <w:p w14:paraId="382A243E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Use of English I</w:t>
            </w:r>
          </w:p>
        </w:tc>
        <w:tc>
          <w:tcPr>
            <w:tcW w:w="0" w:type="auto"/>
            <w:hideMark/>
          </w:tcPr>
          <w:p w14:paraId="43BD23C2" w14:textId="77777777" w:rsidR="00D271A1" w:rsidRDefault="00D271A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hideMark/>
          </w:tcPr>
          <w:p w14:paraId="4A119D05" w14:textId="77777777" w:rsidR="00D271A1" w:rsidRDefault="00D271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</w:tr>
      <w:tr w:rsidR="00D271A1" w14:paraId="3E83BE2F" w14:textId="77777777" w:rsidTr="00094CB9">
        <w:tc>
          <w:tcPr>
            <w:tcW w:w="0" w:type="auto"/>
            <w:hideMark/>
          </w:tcPr>
          <w:p w14:paraId="4294D5A8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GST103</w:t>
            </w:r>
          </w:p>
        </w:tc>
        <w:tc>
          <w:tcPr>
            <w:tcW w:w="0" w:type="auto"/>
            <w:hideMark/>
          </w:tcPr>
          <w:p w14:paraId="62D56326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Philosophy and Logic</w:t>
            </w:r>
          </w:p>
        </w:tc>
        <w:tc>
          <w:tcPr>
            <w:tcW w:w="0" w:type="auto"/>
            <w:hideMark/>
          </w:tcPr>
          <w:p w14:paraId="2F498FD5" w14:textId="77777777" w:rsidR="00D271A1" w:rsidRDefault="00D271A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hideMark/>
          </w:tcPr>
          <w:p w14:paraId="341FAEDA" w14:textId="77777777" w:rsidR="00D271A1" w:rsidRDefault="00D271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</w:tr>
      <w:tr w:rsidR="00D271A1" w14:paraId="448FB268" w14:textId="77777777" w:rsidTr="00094CB9">
        <w:tc>
          <w:tcPr>
            <w:tcW w:w="0" w:type="auto"/>
            <w:hideMark/>
          </w:tcPr>
          <w:p w14:paraId="5F23D482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GST102</w:t>
            </w:r>
          </w:p>
        </w:tc>
        <w:tc>
          <w:tcPr>
            <w:tcW w:w="0" w:type="auto"/>
            <w:hideMark/>
          </w:tcPr>
          <w:p w14:paraId="7C9C6B58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Use of English II</w:t>
            </w:r>
          </w:p>
        </w:tc>
        <w:tc>
          <w:tcPr>
            <w:tcW w:w="0" w:type="auto"/>
            <w:hideMark/>
          </w:tcPr>
          <w:p w14:paraId="17CF134B" w14:textId="77777777" w:rsidR="00D271A1" w:rsidRDefault="00D271A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hideMark/>
          </w:tcPr>
          <w:p w14:paraId="7E23F58A" w14:textId="77777777" w:rsidR="00D271A1" w:rsidRDefault="00D271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</w:tr>
    </w:tbl>
    <w:p w14:paraId="57BC229C" w14:textId="77777777" w:rsidR="00D271A1" w:rsidRDefault="00D271A1">
      <w:pPr>
        <w:pStyle w:val="NormalWeb"/>
      </w:pPr>
      <w:r>
        <w:t>TOTAL UNITS (100 LEVEL): 9</w:t>
      </w:r>
    </w:p>
    <w:p w14:paraId="6788AAEA" w14:textId="77777777" w:rsidR="00D271A1" w:rsidRDefault="00D271A1">
      <w:pPr>
        <w:pStyle w:val="NormalWeb"/>
      </w:pPr>
      <w:r>
        <w:t>-- 200 LEVEL 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2378"/>
        <w:gridCol w:w="816"/>
        <w:gridCol w:w="950"/>
      </w:tblGrid>
      <w:tr w:rsidR="00D271A1" w14:paraId="4911077E" w14:textId="77777777" w:rsidTr="00094CB9">
        <w:tc>
          <w:tcPr>
            <w:tcW w:w="0" w:type="auto"/>
            <w:hideMark/>
          </w:tcPr>
          <w:p w14:paraId="0111B099" w14:textId="77777777" w:rsidR="00D271A1" w:rsidRDefault="00D271A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Code</w:t>
            </w:r>
          </w:p>
        </w:tc>
        <w:tc>
          <w:tcPr>
            <w:tcW w:w="0" w:type="auto"/>
            <w:hideMark/>
          </w:tcPr>
          <w:p w14:paraId="1EB08C0A" w14:textId="77777777" w:rsidR="00D271A1" w:rsidRDefault="00D271A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Course Title</w:t>
            </w:r>
          </w:p>
        </w:tc>
        <w:tc>
          <w:tcPr>
            <w:tcW w:w="0" w:type="auto"/>
            <w:hideMark/>
          </w:tcPr>
          <w:p w14:paraId="75F926C9" w14:textId="77777777" w:rsidR="00D271A1" w:rsidRDefault="00D271A1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Units</w:t>
            </w:r>
          </w:p>
        </w:tc>
        <w:tc>
          <w:tcPr>
            <w:tcW w:w="0" w:type="auto"/>
            <w:hideMark/>
          </w:tcPr>
          <w:p w14:paraId="7251D97A" w14:textId="77777777" w:rsidR="00D271A1" w:rsidRDefault="00D271A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Status</w:t>
            </w:r>
          </w:p>
        </w:tc>
      </w:tr>
      <w:tr w:rsidR="00D271A1" w14:paraId="04222D79" w14:textId="77777777" w:rsidTr="00094CB9">
        <w:tc>
          <w:tcPr>
            <w:tcW w:w="0" w:type="auto"/>
            <w:hideMark/>
          </w:tcPr>
          <w:p w14:paraId="43AB5FD4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LAW213</w:t>
            </w:r>
          </w:p>
        </w:tc>
        <w:tc>
          <w:tcPr>
            <w:tcW w:w="0" w:type="auto"/>
            <w:hideMark/>
          </w:tcPr>
          <w:p w14:paraId="20881C2A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Law of Contract I</w:t>
            </w:r>
          </w:p>
        </w:tc>
        <w:tc>
          <w:tcPr>
            <w:tcW w:w="0" w:type="auto"/>
            <w:hideMark/>
          </w:tcPr>
          <w:p w14:paraId="20AD2A10" w14:textId="77777777" w:rsidR="00D271A1" w:rsidRDefault="00D271A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hideMark/>
          </w:tcPr>
          <w:p w14:paraId="2E336122" w14:textId="77777777" w:rsidR="00D271A1" w:rsidRDefault="00D271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</w:tr>
      <w:tr w:rsidR="00D271A1" w14:paraId="4EC79E85" w14:textId="77777777" w:rsidTr="00094CB9">
        <w:tc>
          <w:tcPr>
            <w:tcW w:w="0" w:type="auto"/>
            <w:hideMark/>
          </w:tcPr>
          <w:p w14:paraId="2E371F73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LAW221</w:t>
            </w:r>
          </w:p>
        </w:tc>
        <w:tc>
          <w:tcPr>
            <w:tcW w:w="0" w:type="auto"/>
            <w:hideMark/>
          </w:tcPr>
          <w:p w14:paraId="13BE43DD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Constitutional Law II</w:t>
            </w:r>
          </w:p>
        </w:tc>
        <w:tc>
          <w:tcPr>
            <w:tcW w:w="0" w:type="auto"/>
            <w:hideMark/>
          </w:tcPr>
          <w:p w14:paraId="053E3AE6" w14:textId="77777777" w:rsidR="00D271A1" w:rsidRDefault="00D271A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hideMark/>
          </w:tcPr>
          <w:p w14:paraId="3F663337" w14:textId="77777777" w:rsidR="00D271A1" w:rsidRDefault="00D271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bookmarkStart w:id="0" w:name="_GoBack"/>
        <w:bookmarkEnd w:id="0"/>
      </w:tr>
      <w:tr w:rsidR="00D271A1" w14:paraId="07EF29CC" w14:textId="77777777" w:rsidTr="00094CB9">
        <w:tc>
          <w:tcPr>
            <w:tcW w:w="0" w:type="auto"/>
            <w:hideMark/>
          </w:tcPr>
          <w:p w14:paraId="5B19307A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LAW223</w:t>
            </w:r>
          </w:p>
        </w:tc>
        <w:tc>
          <w:tcPr>
            <w:tcW w:w="0" w:type="auto"/>
            <w:hideMark/>
          </w:tcPr>
          <w:p w14:paraId="7065A231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Law of Contract II</w:t>
            </w:r>
          </w:p>
        </w:tc>
        <w:tc>
          <w:tcPr>
            <w:tcW w:w="0" w:type="auto"/>
            <w:hideMark/>
          </w:tcPr>
          <w:p w14:paraId="060C24E5" w14:textId="77777777" w:rsidR="00D271A1" w:rsidRDefault="00D271A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hideMark/>
          </w:tcPr>
          <w:p w14:paraId="1AF018AB" w14:textId="77777777" w:rsidR="00D271A1" w:rsidRDefault="00D271A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</w:tr>
    </w:tbl>
    <w:p w14:paraId="7D232A22" w14:textId="77777777" w:rsidR="00D271A1" w:rsidRDefault="00D271A1">
      <w:pPr>
        <w:pStyle w:val="NormalWeb"/>
      </w:pPr>
      <w:r>
        <w:t>TOTAL UNITS (200 LEVEL): 12</w:t>
      </w:r>
    </w:p>
    <w:p w14:paraId="49144EF1" w14:textId="77777777" w:rsidR="00D271A1" w:rsidRDefault="00D271A1">
      <w:pPr>
        <w:pStyle w:val="NormalWeb"/>
      </w:pPr>
      <w:r>
        <w:t>-- 300–500 LEVEL -- (Complete semester tables and unit totals to be appended following departmental validation)</w:t>
      </w:r>
    </w:p>
    <w:p w14:paraId="2B253F4E" w14:textId="77777777" w:rsidR="00D271A1" w:rsidRDefault="00D271A1">
      <w:pPr>
        <w:pStyle w:val="NormalWeb"/>
      </w:pPr>
      <w:r>
        <w:t>PART 5 — TEACHING, LEARNING &amp; ASSESSMENT</w:t>
      </w:r>
    </w:p>
    <w:p w14:paraId="4EFA5F50" w14:textId="77777777" w:rsidR="00D271A1" w:rsidRDefault="00D271A1">
      <w:pPr>
        <w:pStyle w:val="NormalWeb"/>
      </w:pPr>
      <w:r>
        <w:t xml:space="preserve">5.1 Teaching Methods Blended ODL: </w:t>
      </w:r>
      <w:proofErr w:type="spellStart"/>
      <w:r>
        <w:t>eCourseware</w:t>
      </w:r>
      <w:proofErr w:type="spellEnd"/>
      <w:r>
        <w:t xml:space="preserve">, printed materials, online facilitation, synchronous webinars, study </w:t>
      </w:r>
      <w:proofErr w:type="spellStart"/>
      <w:r>
        <w:t>centre</w:t>
      </w:r>
      <w:proofErr w:type="spellEnd"/>
      <w:r>
        <w:t xml:space="preserve"> tutorials.</w:t>
      </w:r>
    </w:p>
    <w:p w14:paraId="762760F1" w14:textId="77777777" w:rsidR="00D271A1" w:rsidRDefault="00D271A1">
      <w:pPr>
        <w:pStyle w:val="NormalWeb"/>
      </w:pPr>
      <w:r>
        <w:t>5.2 Assessment Framework (Chemistry handbook model adopted)</w:t>
      </w:r>
    </w:p>
    <w:p w14:paraId="5FBEF86E" w14:textId="77777777" w:rsidR="00D271A1" w:rsidRDefault="00D271A1" w:rsidP="00D271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TMAs (Continuous Assessment): 30% of final course mark.</w:t>
      </w:r>
    </w:p>
    <w:p w14:paraId="3C4D8FF8" w14:textId="77777777" w:rsidR="00D271A1" w:rsidRDefault="00D271A1" w:rsidP="00D271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End-of-Semester Examination (ESE): 70% of final course mark.</w:t>
      </w:r>
    </w:p>
    <w:p w14:paraId="0698E82D" w14:textId="77777777" w:rsidR="00D271A1" w:rsidRDefault="00D271A1" w:rsidP="00D271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TMA submission requirement: minimum number of TMAs per course to be eligible for ESE (see Faculty rules).</w:t>
      </w:r>
    </w:p>
    <w:p w14:paraId="330FB9F9" w14:textId="527380FC" w:rsidR="00D271A1" w:rsidRDefault="00D271A1">
      <w:pPr>
        <w:pStyle w:val="NormalWeb"/>
      </w:pPr>
      <w:r>
        <w:lastRenderedPageBreak/>
        <w:t>5.3 Moderation &amp; Examination Procedures Internal moderation, external examiners for final year, examination conduct, deferment and re-marking policies</w:t>
      </w:r>
      <w:r w:rsidR="007621A3">
        <w:t>.</w:t>
      </w:r>
    </w:p>
    <w:p w14:paraId="7D5E6510" w14:textId="77777777" w:rsidR="00D271A1" w:rsidRDefault="00D271A1">
      <w:pPr>
        <w:pStyle w:val="NormalWeb"/>
      </w:pPr>
      <w:r>
        <w:t>PART 6 — RESEARCH, PROJECTS &amp; SUPERVISION</w:t>
      </w:r>
    </w:p>
    <w:p w14:paraId="29580E53" w14:textId="77777777" w:rsidR="00D271A1" w:rsidRDefault="00D271A1">
      <w:pPr>
        <w:pStyle w:val="NormalWeb"/>
      </w:pPr>
      <w:r>
        <w:t>6.1 Final Year Project / Long Essay</w:t>
      </w:r>
    </w:p>
    <w:p w14:paraId="322A5534" w14:textId="6885704E" w:rsidR="00D271A1" w:rsidRDefault="00D271A1" w:rsidP="00D271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Proposal, supervision allocation, submission deadlines, format, grading and external moderation (Appendix I: project guidelines </w:t>
      </w:r>
      <w:r w:rsidR="00D20087">
        <w:rPr>
          <w:rFonts w:eastAsia="Times New Roman"/>
        </w:rPr>
        <w:t>)</w:t>
      </w:r>
    </w:p>
    <w:p w14:paraId="1D137792" w14:textId="77777777" w:rsidR="00D271A1" w:rsidRDefault="00D271A1">
      <w:pPr>
        <w:pStyle w:val="NormalWeb"/>
      </w:pPr>
      <w:r>
        <w:t xml:space="preserve">6.2 Postgraduate Research LL.M and </w:t>
      </w:r>
      <w:proofErr w:type="spellStart"/>
      <w:r>
        <w:t>Ph.D</w:t>
      </w:r>
      <w:proofErr w:type="spellEnd"/>
      <w:r>
        <w:t xml:space="preserve"> supervision rules, candidature requirements and thesis submission guidelines.</w:t>
      </w:r>
    </w:p>
    <w:p w14:paraId="0EDEE10D" w14:textId="77777777" w:rsidR="00D271A1" w:rsidRDefault="00D271A1">
      <w:pPr>
        <w:pStyle w:val="NormalWeb"/>
      </w:pPr>
      <w:r>
        <w:t>PART 7 — STUDENT SUPPORT, CLINICAL ACTIVITIES &amp; LAWSAN</w:t>
      </w:r>
    </w:p>
    <w:p w14:paraId="176C6E5E" w14:textId="76944AA5" w:rsidR="00D271A1" w:rsidRDefault="00D271A1">
      <w:pPr>
        <w:pStyle w:val="NormalWeb"/>
      </w:pPr>
      <w:r>
        <w:t>7.1 Student Welfare &amp; Support Services Study Centre support, library, ICT support (</w:t>
      </w:r>
      <w:hyperlink r:id="rId5" w:history="1">
        <w:r>
          <w:rPr>
            <w:rStyle w:val="Hyperlink"/>
          </w:rPr>
          <w:t>centralinfo@nou.edu.ng</w:t>
        </w:r>
      </w:hyperlink>
      <w:r>
        <w:t>), bursary and clearance process</w:t>
      </w:r>
    </w:p>
    <w:p w14:paraId="35D2B9EE" w14:textId="77777777" w:rsidR="00D271A1" w:rsidRDefault="00D271A1">
      <w:pPr>
        <w:pStyle w:val="NormalWeb"/>
      </w:pPr>
      <w:r>
        <w:t>7.2 Clinical Legal Education &amp; Attachments Moot court, internships, attachment logbook template (Appendix II).</w:t>
      </w:r>
    </w:p>
    <w:p w14:paraId="7033B89F" w14:textId="77777777" w:rsidR="00D271A1" w:rsidRDefault="00D271A1">
      <w:pPr>
        <w:pStyle w:val="NormalWeb"/>
      </w:pPr>
      <w:r>
        <w:t>PART 8 — EXAMINATION, GRADING &amp; AWARD</w:t>
      </w:r>
    </w:p>
    <w:p w14:paraId="0B3EB1D0" w14:textId="03C42330" w:rsidR="00D271A1" w:rsidRDefault="00D271A1">
      <w:pPr>
        <w:pStyle w:val="NormalWeb"/>
      </w:pPr>
      <w:r>
        <w:t xml:space="preserve">8.1 Grading Scale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1"/>
        <w:gridCol w:w="1537"/>
        <w:gridCol w:w="883"/>
        <w:gridCol w:w="1577"/>
      </w:tblGrid>
      <w:tr w:rsidR="00D271A1" w14:paraId="7B55C6BE" w14:textId="77777777" w:rsidTr="00D271A1">
        <w:tc>
          <w:tcPr>
            <w:tcW w:w="0" w:type="auto"/>
            <w:hideMark/>
          </w:tcPr>
          <w:p w14:paraId="7F382A63" w14:textId="77777777" w:rsidR="00D271A1" w:rsidRDefault="00D271A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Percentage Range</w:t>
            </w:r>
          </w:p>
        </w:tc>
        <w:tc>
          <w:tcPr>
            <w:tcW w:w="0" w:type="auto"/>
            <w:hideMark/>
          </w:tcPr>
          <w:p w14:paraId="28BF1027" w14:textId="77777777" w:rsidR="00D271A1" w:rsidRDefault="00D271A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44DB6921" w14:textId="77777777" w:rsidR="00D271A1" w:rsidRDefault="00D271A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Letter</w:t>
            </w:r>
          </w:p>
        </w:tc>
        <w:tc>
          <w:tcPr>
            <w:tcW w:w="0" w:type="auto"/>
            <w:hideMark/>
          </w:tcPr>
          <w:p w14:paraId="305D0356" w14:textId="77777777" w:rsidR="00D271A1" w:rsidRDefault="00D271A1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Grade Point</w:t>
            </w:r>
          </w:p>
        </w:tc>
      </w:tr>
      <w:tr w:rsidR="00D271A1" w14:paraId="37BC3E90" w14:textId="77777777" w:rsidTr="00D271A1">
        <w:tc>
          <w:tcPr>
            <w:tcW w:w="0" w:type="auto"/>
            <w:hideMark/>
          </w:tcPr>
          <w:p w14:paraId="24B65253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70.0% and above</w:t>
            </w:r>
          </w:p>
        </w:tc>
        <w:tc>
          <w:tcPr>
            <w:tcW w:w="0" w:type="auto"/>
            <w:hideMark/>
          </w:tcPr>
          <w:p w14:paraId="0180F1D4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Excellent</w:t>
            </w:r>
          </w:p>
        </w:tc>
        <w:tc>
          <w:tcPr>
            <w:tcW w:w="0" w:type="auto"/>
            <w:hideMark/>
          </w:tcPr>
          <w:p w14:paraId="4ACA03EB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0" w:type="auto"/>
            <w:hideMark/>
          </w:tcPr>
          <w:p w14:paraId="4305272A" w14:textId="77777777" w:rsidR="00D271A1" w:rsidRDefault="00D271A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D271A1" w14:paraId="5E09500A" w14:textId="77777777" w:rsidTr="00D271A1">
        <w:tc>
          <w:tcPr>
            <w:tcW w:w="0" w:type="auto"/>
            <w:hideMark/>
          </w:tcPr>
          <w:p w14:paraId="4BB8FF04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60.0 — 69.9</w:t>
            </w:r>
          </w:p>
        </w:tc>
        <w:tc>
          <w:tcPr>
            <w:tcW w:w="0" w:type="auto"/>
            <w:hideMark/>
          </w:tcPr>
          <w:p w14:paraId="131C1B17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Very Good</w:t>
            </w:r>
          </w:p>
        </w:tc>
        <w:tc>
          <w:tcPr>
            <w:tcW w:w="0" w:type="auto"/>
            <w:hideMark/>
          </w:tcPr>
          <w:p w14:paraId="384804A4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  <w:tc>
          <w:tcPr>
            <w:tcW w:w="0" w:type="auto"/>
            <w:hideMark/>
          </w:tcPr>
          <w:p w14:paraId="3DE6E5C3" w14:textId="77777777" w:rsidR="00D271A1" w:rsidRDefault="00D271A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D271A1" w14:paraId="11D3649A" w14:textId="77777777" w:rsidTr="00D271A1">
        <w:tc>
          <w:tcPr>
            <w:tcW w:w="0" w:type="auto"/>
            <w:hideMark/>
          </w:tcPr>
          <w:p w14:paraId="2650868C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50.0 — 59.9</w:t>
            </w:r>
          </w:p>
        </w:tc>
        <w:tc>
          <w:tcPr>
            <w:tcW w:w="0" w:type="auto"/>
            <w:hideMark/>
          </w:tcPr>
          <w:p w14:paraId="7A466672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Good</w:t>
            </w:r>
          </w:p>
        </w:tc>
        <w:tc>
          <w:tcPr>
            <w:tcW w:w="0" w:type="auto"/>
            <w:hideMark/>
          </w:tcPr>
          <w:p w14:paraId="79D52F74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</w:p>
        </w:tc>
        <w:tc>
          <w:tcPr>
            <w:tcW w:w="0" w:type="auto"/>
            <w:hideMark/>
          </w:tcPr>
          <w:p w14:paraId="028A61B7" w14:textId="77777777" w:rsidR="00D271A1" w:rsidRDefault="00D271A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D271A1" w14:paraId="4718A666" w14:textId="77777777" w:rsidTr="00D271A1">
        <w:tc>
          <w:tcPr>
            <w:tcW w:w="0" w:type="auto"/>
            <w:hideMark/>
          </w:tcPr>
          <w:p w14:paraId="75C7277C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45.0 — 49.9</w:t>
            </w:r>
          </w:p>
        </w:tc>
        <w:tc>
          <w:tcPr>
            <w:tcW w:w="0" w:type="auto"/>
            <w:hideMark/>
          </w:tcPr>
          <w:p w14:paraId="7442B216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Satisfactory</w:t>
            </w:r>
          </w:p>
        </w:tc>
        <w:tc>
          <w:tcPr>
            <w:tcW w:w="0" w:type="auto"/>
            <w:hideMark/>
          </w:tcPr>
          <w:p w14:paraId="3DB6E15D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</w:p>
        </w:tc>
        <w:tc>
          <w:tcPr>
            <w:tcW w:w="0" w:type="auto"/>
            <w:hideMark/>
          </w:tcPr>
          <w:p w14:paraId="2BF091DD" w14:textId="77777777" w:rsidR="00D271A1" w:rsidRDefault="00D271A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D271A1" w14:paraId="72FDA4E8" w14:textId="77777777" w:rsidTr="00D271A1">
        <w:tc>
          <w:tcPr>
            <w:tcW w:w="0" w:type="auto"/>
            <w:hideMark/>
          </w:tcPr>
          <w:p w14:paraId="17B46C1A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40.0 — 44.9</w:t>
            </w:r>
          </w:p>
        </w:tc>
        <w:tc>
          <w:tcPr>
            <w:tcW w:w="0" w:type="auto"/>
            <w:hideMark/>
          </w:tcPr>
          <w:p w14:paraId="7FA3DB23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Pass</w:t>
            </w:r>
          </w:p>
        </w:tc>
        <w:tc>
          <w:tcPr>
            <w:tcW w:w="0" w:type="auto"/>
            <w:hideMark/>
          </w:tcPr>
          <w:p w14:paraId="4C1AC8AC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</w:t>
            </w:r>
          </w:p>
        </w:tc>
        <w:tc>
          <w:tcPr>
            <w:tcW w:w="0" w:type="auto"/>
            <w:hideMark/>
          </w:tcPr>
          <w:p w14:paraId="3A914B2C" w14:textId="77777777" w:rsidR="00D271A1" w:rsidRDefault="00D271A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D271A1" w14:paraId="6E465E6C" w14:textId="77777777" w:rsidTr="00D271A1">
        <w:tc>
          <w:tcPr>
            <w:tcW w:w="0" w:type="auto"/>
            <w:hideMark/>
          </w:tcPr>
          <w:p w14:paraId="07AC54E4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0.0 — 39.9</w:t>
            </w:r>
          </w:p>
        </w:tc>
        <w:tc>
          <w:tcPr>
            <w:tcW w:w="0" w:type="auto"/>
            <w:hideMark/>
          </w:tcPr>
          <w:p w14:paraId="79416500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Fail</w:t>
            </w:r>
          </w:p>
        </w:tc>
        <w:tc>
          <w:tcPr>
            <w:tcW w:w="0" w:type="auto"/>
            <w:hideMark/>
          </w:tcPr>
          <w:p w14:paraId="5CCC975A" w14:textId="77777777" w:rsidR="00D271A1" w:rsidRDefault="00D271A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</w:t>
            </w:r>
          </w:p>
        </w:tc>
        <w:tc>
          <w:tcPr>
            <w:tcW w:w="0" w:type="auto"/>
            <w:hideMark/>
          </w:tcPr>
          <w:p w14:paraId="2FD7362E" w14:textId="77777777" w:rsidR="00D271A1" w:rsidRDefault="00D271A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</w:tr>
    </w:tbl>
    <w:p w14:paraId="1CA13BAA" w14:textId="1BFA972E" w:rsidR="00D271A1" w:rsidRDefault="00D271A1">
      <w:pPr>
        <w:pStyle w:val="NormalWeb"/>
      </w:pPr>
      <w:r>
        <w:t>8.2 GPA/CGPA Calculation Include</w:t>
      </w:r>
      <w:r w:rsidR="00833792">
        <w:t xml:space="preserve"> </w:t>
      </w:r>
      <w:r>
        <w:t>formulas</w:t>
      </w:r>
      <w:proofErr w:type="gramStart"/>
      <w:r w:rsidR="00F87E95">
        <w:t>,</w:t>
      </w:r>
      <w:r>
        <w:t>(</w:t>
      </w:r>
      <w:proofErr w:type="gramEnd"/>
      <w:r>
        <w:t xml:space="preserve">Appendix). </w:t>
      </w:r>
    </w:p>
    <w:p w14:paraId="707AA7EB" w14:textId="77777777" w:rsidR="00D271A1" w:rsidRDefault="00D271A1">
      <w:pPr>
        <w:pStyle w:val="NormalWeb"/>
      </w:pPr>
      <w:r>
        <w:t>8.3 Degree Classification First Class: CGPA 4.50–5.00; Second Class Upper: 3.50–4.49; Second Class Lower: 2.49–3.49; Third Class: 1.40–2.48.</w:t>
      </w:r>
    </w:p>
    <w:p w14:paraId="2C88E74C" w14:textId="77777777" w:rsidR="00D271A1" w:rsidRDefault="00D271A1">
      <w:pPr>
        <w:pStyle w:val="NormalWeb"/>
      </w:pPr>
      <w:r>
        <w:t>APPENDICES</w:t>
      </w:r>
    </w:p>
    <w:p w14:paraId="45B070A1" w14:textId="47DAA175" w:rsidR="00CF1136" w:rsidRDefault="00D271A1">
      <w:pPr>
        <w:pStyle w:val="NormalWeb"/>
      </w:pPr>
      <w:r>
        <w:t>Appendix I: Guidelines for Research Pro</w:t>
      </w:r>
      <w:r w:rsidR="00DA29AA">
        <w:t>ject and Grading Specifications</w:t>
      </w:r>
      <w:r>
        <w:t>.</w:t>
      </w:r>
    </w:p>
    <w:p w14:paraId="2A6647CA" w14:textId="5ADA4B32" w:rsidR="00631C0C" w:rsidRDefault="00D271A1">
      <w:pPr>
        <w:pStyle w:val="NormalWeb"/>
      </w:pPr>
      <w:r>
        <w:t xml:space="preserve"> Appendix II: Attachment / Clinical Logbook Template Appendix III: Policy on Deferment of Examination. </w:t>
      </w:r>
    </w:p>
    <w:p w14:paraId="1B1E0AEE" w14:textId="02B30F80" w:rsidR="00D271A1" w:rsidRDefault="00D271A1">
      <w:pPr>
        <w:pStyle w:val="NormalWeb"/>
      </w:pPr>
      <w:r>
        <w:lastRenderedPageBreak/>
        <w:t>Appendix IV: Re-marking and Re-computation Policy Appendix V: Departmental Curriculum Change Record (removed JIL111/JIL112/JIL211/JIL212) — approval signatures</w:t>
      </w:r>
    </w:p>
    <w:p w14:paraId="0C71AEA0" w14:textId="4FAFB3AB" w:rsidR="00D271A1" w:rsidRDefault="00D271A1">
      <w:pPr>
        <w:pStyle w:val="NormalWeb"/>
      </w:pPr>
    </w:p>
    <w:p w14:paraId="32F618A1" w14:textId="77777777" w:rsidR="00D271A1" w:rsidRDefault="00D271A1"/>
    <w:sectPr w:rsidR="00D27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974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4018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A30E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B023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9A55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A1"/>
    <w:rsid w:val="00094CB9"/>
    <w:rsid w:val="0009726F"/>
    <w:rsid w:val="001015DF"/>
    <w:rsid w:val="001E44B6"/>
    <w:rsid w:val="002314B5"/>
    <w:rsid w:val="00252614"/>
    <w:rsid w:val="00263B6E"/>
    <w:rsid w:val="002B05FA"/>
    <w:rsid w:val="002F476F"/>
    <w:rsid w:val="00351379"/>
    <w:rsid w:val="003A09A2"/>
    <w:rsid w:val="003B11B5"/>
    <w:rsid w:val="003B7510"/>
    <w:rsid w:val="0040357E"/>
    <w:rsid w:val="004A0381"/>
    <w:rsid w:val="004C6945"/>
    <w:rsid w:val="0050011D"/>
    <w:rsid w:val="00535880"/>
    <w:rsid w:val="00550F44"/>
    <w:rsid w:val="00567C72"/>
    <w:rsid w:val="005907DC"/>
    <w:rsid w:val="00625EDD"/>
    <w:rsid w:val="00631C0C"/>
    <w:rsid w:val="00716DAF"/>
    <w:rsid w:val="00745081"/>
    <w:rsid w:val="007621A3"/>
    <w:rsid w:val="00797294"/>
    <w:rsid w:val="007E5BD6"/>
    <w:rsid w:val="00833792"/>
    <w:rsid w:val="00865806"/>
    <w:rsid w:val="00872104"/>
    <w:rsid w:val="00913337"/>
    <w:rsid w:val="0099671C"/>
    <w:rsid w:val="009A4580"/>
    <w:rsid w:val="009D764B"/>
    <w:rsid w:val="00B37FE4"/>
    <w:rsid w:val="00B60507"/>
    <w:rsid w:val="00BD2467"/>
    <w:rsid w:val="00C34F5B"/>
    <w:rsid w:val="00CF1136"/>
    <w:rsid w:val="00D06E7F"/>
    <w:rsid w:val="00D20087"/>
    <w:rsid w:val="00D271A1"/>
    <w:rsid w:val="00DA29AA"/>
    <w:rsid w:val="00DD1F91"/>
    <w:rsid w:val="00E12E4C"/>
    <w:rsid w:val="00E43244"/>
    <w:rsid w:val="00EC3C9E"/>
    <w:rsid w:val="00EC60C7"/>
    <w:rsid w:val="00EF531A"/>
    <w:rsid w:val="00F87E95"/>
    <w:rsid w:val="00F93E59"/>
    <w:rsid w:val="00FA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B46B"/>
  <w15:chartTrackingRefBased/>
  <w15:docId w15:val="{0824BE16-5304-CF49-9E11-D932CB45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1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271A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271A1"/>
    <w:rPr>
      <w:color w:val="0000FF"/>
      <w:u w:val="single"/>
    </w:rPr>
  </w:style>
  <w:style w:type="table" w:styleId="TableGrid">
    <w:name w:val="Table Grid"/>
    <w:basedOn w:val="TableNormal"/>
    <w:uiPriority w:val="39"/>
    <w:rsid w:val="00D27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ralinfo@nou.edu.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1090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Damilola Ogunleye</dc:creator>
  <cp:keywords/>
  <dc:description/>
  <cp:lastModifiedBy>Hakeem Durogbola</cp:lastModifiedBy>
  <cp:revision>3</cp:revision>
  <dcterms:created xsi:type="dcterms:W3CDTF">2025-12-18T15:22:00Z</dcterms:created>
  <dcterms:modified xsi:type="dcterms:W3CDTF">2026-07-14T16:17:00Z</dcterms:modified>
</cp:coreProperties>
</file>